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1FF" w:rsidRPr="008261FF" w:rsidRDefault="008261FF" w:rsidP="008261FF">
      <w:pPr>
        <w:shd w:val="clear" w:color="auto" w:fill="FFFFFF"/>
        <w:spacing w:after="0" w:line="240" w:lineRule="auto"/>
        <w:rPr>
          <w:rFonts w:ascii="Arial" w:eastAsia="Times New Roman" w:hAnsi="Arial" w:cs="Arial"/>
          <w:color w:val="333333"/>
          <w:sz w:val="27"/>
          <w:szCs w:val="27"/>
        </w:rPr>
      </w:pPr>
      <w:r w:rsidRPr="008261FF">
        <w:rPr>
          <w:rFonts w:ascii="Arial" w:eastAsia="Times New Roman" w:hAnsi="Arial" w:cs="Arial"/>
          <w:color w:val="333333"/>
          <w:sz w:val="27"/>
          <w:szCs w:val="27"/>
        </w:rPr>
        <w:t xml:space="preserve">Understanding globalization is crucial to functioning successfully in today’s global economy, as the speed at which global events occur and impact businesses continues to increase. This understanding includes the background and definition of globalization as well as factors affecting it, such as global crises and </w:t>
      </w:r>
      <w:proofErr w:type="spellStart"/>
      <w:r w:rsidRPr="008261FF">
        <w:rPr>
          <w:rFonts w:ascii="Arial" w:eastAsia="Times New Roman" w:hAnsi="Arial" w:cs="Arial"/>
          <w:color w:val="333333"/>
          <w:sz w:val="27"/>
          <w:szCs w:val="27"/>
        </w:rPr>
        <w:t>hyperconnectivity</w:t>
      </w:r>
      <w:proofErr w:type="spellEnd"/>
      <w:r w:rsidRPr="008261FF">
        <w:rPr>
          <w:rFonts w:ascii="Arial" w:eastAsia="Times New Roman" w:hAnsi="Arial" w:cs="Arial"/>
          <w:color w:val="333333"/>
          <w:sz w:val="27"/>
          <w:szCs w:val="27"/>
        </w:rPr>
        <w:t>.</w:t>
      </w:r>
    </w:p>
    <w:p w:rsidR="008261FF" w:rsidRPr="008261FF" w:rsidRDefault="008261FF" w:rsidP="008261FF">
      <w:pPr>
        <w:shd w:val="clear" w:color="auto" w:fill="FFFFFF"/>
        <w:spacing w:before="100" w:beforeAutospacing="1" w:after="100" w:afterAutospacing="1" w:line="240" w:lineRule="auto"/>
        <w:outlineLvl w:val="3"/>
        <w:rPr>
          <w:rFonts w:ascii="Arial" w:eastAsia="Times New Roman" w:hAnsi="Arial" w:cs="Arial"/>
          <w:color w:val="333333"/>
          <w:sz w:val="24"/>
          <w:szCs w:val="24"/>
        </w:rPr>
      </w:pPr>
      <w:r w:rsidRPr="008261FF">
        <w:rPr>
          <w:rFonts w:ascii="Arial" w:eastAsia="Times New Roman" w:hAnsi="Arial" w:cs="Arial"/>
          <w:color w:val="333333"/>
          <w:sz w:val="24"/>
          <w:szCs w:val="24"/>
        </w:rPr>
        <w:t>Competency Connection</w:t>
      </w:r>
    </w:p>
    <w:p w:rsidR="008261FF" w:rsidRPr="008261FF" w:rsidRDefault="008261FF" w:rsidP="008261FF">
      <w:pPr>
        <w:shd w:val="clear" w:color="auto" w:fill="FFFFFF"/>
        <w:spacing w:after="240" w:line="240" w:lineRule="auto"/>
        <w:rPr>
          <w:rFonts w:ascii="Arial" w:eastAsia="Times New Roman" w:hAnsi="Arial" w:cs="Arial"/>
          <w:color w:val="333333"/>
          <w:sz w:val="27"/>
          <w:szCs w:val="27"/>
        </w:rPr>
      </w:pPr>
      <w:r w:rsidRPr="008261FF">
        <w:rPr>
          <w:rFonts w:ascii="Arial" w:eastAsia="Times New Roman" w:hAnsi="Arial" w:cs="Arial"/>
          <w:color w:val="333333"/>
          <w:sz w:val="27"/>
          <w:szCs w:val="27"/>
        </w:rPr>
        <w:t>Fulfilling the HR function in a global organization can be especially challenging. Differences in cultures and laws can combine with the challenges of language barriers and communicating over physical distances. In the following story, a termination case exposed these difficulties within the HR function itself. This case argues for the need to develop HR competencies not only in Global and Cultural Effectiveness but also in Business Acumen and Relationship Management.</w:t>
      </w:r>
    </w:p>
    <w:p w:rsidR="008261FF" w:rsidRPr="008261FF" w:rsidRDefault="008261FF" w:rsidP="008261FF">
      <w:pPr>
        <w:shd w:val="clear" w:color="auto" w:fill="FFFFFF"/>
        <w:spacing w:after="240" w:line="240" w:lineRule="auto"/>
        <w:rPr>
          <w:rFonts w:ascii="Arial" w:eastAsia="Times New Roman" w:hAnsi="Arial" w:cs="Arial"/>
          <w:color w:val="333333"/>
          <w:sz w:val="27"/>
          <w:szCs w:val="27"/>
        </w:rPr>
      </w:pPr>
      <w:r w:rsidRPr="008261FF">
        <w:rPr>
          <w:rFonts w:ascii="Arial" w:eastAsia="Times New Roman" w:hAnsi="Arial" w:cs="Arial"/>
          <w:color w:val="333333"/>
          <w:sz w:val="27"/>
          <w:szCs w:val="27"/>
        </w:rPr>
        <w:t>HR for a multinational company was headquartered in the U.S., with country HR managers in the countries of operation. In one of these countries, the HR manager wanted to terminate an under-performing HR specialist and was hitting various obstacles. A clear case could be made for termination based on performance alone. The specialist had committed numerous errors, had probably led to the departure of many of her own reports, and had scored poorly on a 360-degree evaluation. However, the specialist had recently become pregnant, and the country’s benefits for maternity (about six months’ leave with pay) and for protection from termination (until the child is one year old) were significant. To complicate matters further, the company was downsizing and several HR personnel would be terminated as part of the reduction in force.</w:t>
      </w:r>
    </w:p>
    <w:p w:rsidR="008261FF" w:rsidRPr="008261FF" w:rsidRDefault="008261FF" w:rsidP="008261FF">
      <w:pPr>
        <w:shd w:val="clear" w:color="auto" w:fill="FFFFFF"/>
        <w:spacing w:after="240" w:line="240" w:lineRule="auto"/>
        <w:rPr>
          <w:rFonts w:ascii="Arial" w:eastAsia="Times New Roman" w:hAnsi="Arial" w:cs="Arial"/>
          <w:color w:val="333333"/>
          <w:sz w:val="27"/>
          <w:szCs w:val="27"/>
        </w:rPr>
      </w:pPr>
      <w:r w:rsidRPr="008261FF">
        <w:rPr>
          <w:rFonts w:ascii="Arial" w:eastAsia="Times New Roman" w:hAnsi="Arial" w:cs="Arial"/>
          <w:color w:val="333333"/>
          <w:sz w:val="27"/>
          <w:szCs w:val="27"/>
        </w:rPr>
        <w:t xml:space="preserve">A local legal consultant recommended terminating the specialist as part of the downsizing. The specialist rejected the employer’s standard separation agreement, which </w:t>
      </w:r>
      <w:proofErr w:type="gramStart"/>
      <w:r w:rsidRPr="008261FF">
        <w:rPr>
          <w:rFonts w:ascii="Arial" w:eastAsia="Times New Roman" w:hAnsi="Arial" w:cs="Arial"/>
          <w:color w:val="333333"/>
          <w:sz w:val="27"/>
          <w:szCs w:val="27"/>
        </w:rPr>
        <w:t>was not as good as the maternity benefits</w:t>
      </w:r>
      <w:proofErr w:type="gramEnd"/>
      <w:r w:rsidRPr="008261FF">
        <w:rPr>
          <w:rFonts w:ascii="Arial" w:eastAsia="Times New Roman" w:hAnsi="Arial" w:cs="Arial"/>
          <w:color w:val="333333"/>
          <w:sz w:val="27"/>
          <w:szCs w:val="27"/>
        </w:rPr>
        <w:t xml:space="preserve"> that the specialist believed she was entitled to. Negotiations stalled. The country general manager was familiar with the culture of the HR manager and the HR employee and the country’s laws, appreciated the difficulty of the situation, and approved a settlement. However, the settlement also had to be approved by the HR VP, located in the U.S.</w:t>
      </w:r>
    </w:p>
    <w:p w:rsidR="008261FF" w:rsidRPr="008261FF" w:rsidRDefault="008261FF" w:rsidP="008261FF">
      <w:pPr>
        <w:shd w:val="clear" w:color="auto" w:fill="FFFFFF"/>
        <w:spacing w:after="240" w:line="240" w:lineRule="auto"/>
        <w:rPr>
          <w:rFonts w:ascii="Arial" w:eastAsia="Times New Roman" w:hAnsi="Arial" w:cs="Arial"/>
          <w:color w:val="333333"/>
          <w:sz w:val="27"/>
          <w:szCs w:val="27"/>
        </w:rPr>
      </w:pPr>
      <w:r w:rsidRPr="008261FF">
        <w:rPr>
          <w:rFonts w:ascii="Arial" w:eastAsia="Times New Roman" w:hAnsi="Arial" w:cs="Arial"/>
          <w:color w:val="333333"/>
          <w:sz w:val="27"/>
          <w:szCs w:val="27"/>
        </w:rPr>
        <w:t xml:space="preserve">The HR VP vigorously rejected the specialist’s agreement, saying that it was inconsistent with the company’s policies and practices. The VP’s perspective was based on the U.S. principle of employment at-will (EAW)—the company had the right to terminate employees without cause. EAW did not apply in the </w:t>
      </w:r>
      <w:r w:rsidRPr="008261FF">
        <w:rPr>
          <w:rFonts w:ascii="Arial" w:eastAsia="Times New Roman" w:hAnsi="Arial" w:cs="Arial"/>
          <w:color w:val="333333"/>
          <w:sz w:val="27"/>
          <w:szCs w:val="27"/>
        </w:rPr>
        <w:lastRenderedPageBreak/>
        <w:t>employee’s country, however. In addition, the VP’s authoritarian and independent cultural style conflicted with the HR manager’s more collaborative and collectivist style. Significant language difficulties and distance seemed to make these differences more difficult to manage.</w:t>
      </w:r>
    </w:p>
    <w:p w:rsidR="008261FF" w:rsidRPr="008261FF" w:rsidRDefault="008261FF" w:rsidP="008261FF">
      <w:pPr>
        <w:shd w:val="clear" w:color="auto" w:fill="FFFFFF"/>
        <w:spacing w:after="240" w:line="240" w:lineRule="auto"/>
        <w:rPr>
          <w:rFonts w:ascii="Arial" w:eastAsia="Times New Roman" w:hAnsi="Arial" w:cs="Arial"/>
          <w:color w:val="333333"/>
          <w:sz w:val="27"/>
          <w:szCs w:val="27"/>
        </w:rPr>
      </w:pPr>
      <w:r w:rsidRPr="008261FF">
        <w:rPr>
          <w:rFonts w:ascii="Arial" w:eastAsia="Times New Roman" w:hAnsi="Arial" w:cs="Arial"/>
          <w:color w:val="333333"/>
          <w:sz w:val="27"/>
          <w:szCs w:val="27"/>
        </w:rPr>
        <w:t>Eventually the VP agreed to an offer that included benefits “in recognition of previous contributions” the specialist had made. But the conflict over how to settle the claim had damaged the relationship between the VP HR and the HR manager, and, as the dispute dragged on, there was evidence that it had affected the employer’s image in this host country.</w:t>
      </w:r>
    </w:p>
    <w:p w:rsidR="008261FF" w:rsidRDefault="008261FF" w:rsidP="008261FF">
      <w:pPr>
        <w:pStyle w:val="Heading4"/>
        <w:rPr>
          <w:b w:val="0"/>
          <w:bCs w:val="0"/>
        </w:rPr>
      </w:pPr>
      <w:r>
        <w:rPr>
          <w:b w:val="0"/>
          <w:bCs w:val="0"/>
        </w:rPr>
        <w:t>Foreign Direct Investment</w:t>
      </w:r>
    </w:p>
    <w:p w:rsidR="008261FF" w:rsidRDefault="008261FF" w:rsidP="008261FF">
      <w:pPr>
        <w:pStyle w:val="NormalWeb"/>
      </w:pPr>
      <w:r>
        <w:t>A leading indicator of that continuing shift, and a major feature of globalization, has been the rapid rise in foreign direct investment (FDI), the investment of foreign assets into domestic structures, equipment, and organizations. In 2012, according to the United Nations Conference on Trade and Development (UNCTAD), FDI inflow into developing economies exceeded flows to developed economies for the first time. That trend continued in 2013, with FDI inflows to developing economies reaching a record $778 billion—54% of total FDI.</w:t>
      </w:r>
    </w:p>
    <w:p w:rsidR="008261FF" w:rsidRDefault="008261FF" w:rsidP="008261FF">
      <w:pPr>
        <w:pStyle w:val="NormalWeb"/>
      </w:pPr>
      <w:r>
        <w:t>There were also notable new developments:</w:t>
      </w:r>
    </w:p>
    <w:p w:rsidR="008261FF" w:rsidRDefault="008261FF" w:rsidP="008261FF">
      <w:pPr>
        <w:pStyle w:val="NormalWeb"/>
        <w:numPr>
          <w:ilvl w:val="0"/>
          <w:numId w:val="1"/>
        </w:numPr>
        <w:spacing w:before="0" w:beforeAutospacing="0"/>
      </w:pPr>
      <w:r>
        <w:t>FDI outflows from emerging economies also reached record levels, as transnational corporations based in developing countries acquired affiliates of developed-country corporations operating in their regions. Emerging economy investments accounted for 39% of global FDI outflows, up from only 12% in the early 2000s.</w:t>
      </w:r>
    </w:p>
    <w:p w:rsidR="008261FF" w:rsidRDefault="008261FF" w:rsidP="008261FF">
      <w:pPr>
        <w:pStyle w:val="NormalWeb"/>
        <w:numPr>
          <w:ilvl w:val="0"/>
          <w:numId w:val="1"/>
        </w:numPr>
        <w:spacing w:before="0" w:beforeAutospacing="0"/>
      </w:pPr>
      <w:r>
        <w:t>The poorest countries became much less dependent on extractive industry investment; 90% of new projects were in the manufacturing and service industries.</w:t>
      </w:r>
    </w:p>
    <w:p w:rsidR="008261FF" w:rsidRDefault="008261FF" w:rsidP="008261FF">
      <w:pPr>
        <w:pStyle w:val="NormalWeb"/>
        <w:numPr>
          <w:ilvl w:val="0"/>
          <w:numId w:val="1"/>
        </w:numPr>
        <w:spacing w:before="0" w:beforeAutospacing="0"/>
      </w:pPr>
      <w:r>
        <w:t>2013 marked the first post-recession year of FDI increases, but that growth was not evenly distributed. The “</w:t>
      </w:r>
      <w:proofErr w:type="spellStart"/>
      <w:r>
        <w:t>fDi</w:t>
      </w:r>
      <w:proofErr w:type="spellEnd"/>
      <w:r>
        <w:t xml:space="preserve"> Report 2014,” the annual review of greenfield (new operations built from the ground up) FDI by </w:t>
      </w:r>
      <w:proofErr w:type="spellStart"/>
      <w:r>
        <w:t>fDi</w:t>
      </w:r>
      <w:proofErr w:type="spellEnd"/>
      <w:r>
        <w:t xml:space="preserve"> Intelligence, noted that the greatest FDI growth was in mid-size emerging economies, such as Nicaragua, Myanmar, Vietnam, Iraq, Jordan, Colombia, Peru, and Mozambique. By contrast, China and the U.S., the top countries in the world for FDI, saw slight decreases.</w:t>
      </w:r>
    </w:p>
    <w:p w:rsidR="008261FF" w:rsidRDefault="008261FF" w:rsidP="008261FF">
      <w:pPr>
        <w:pStyle w:val="Heading4"/>
        <w:rPr>
          <w:b w:val="0"/>
          <w:bCs w:val="0"/>
        </w:rPr>
      </w:pPr>
      <w:r>
        <w:rPr>
          <w:b w:val="0"/>
          <w:bCs w:val="0"/>
        </w:rPr>
        <w:t>The Diaspora</w:t>
      </w:r>
    </w:p>
    <w:p w:rsidR="008261FF" w:rsidRDefault="008261FF" w:rsidP="008261FF">
      <w:pPr>
        <w:pStyle w:val="NormalWeb"/>
      </w:pPr>
      <w:r>
        <w:t>Emerging economies also received another type of record income in 2017 according to the World Bank: $613 billion in global remittances—monies sent back home by migrants working in foreign countries. Such remittances accounted for more than 10% of GDP in 29 countries in 2017. It is sometimes referred to as a diaspora—a mass migration of a group from its homeland to multiple destinations—although here one consisting of communities of voluntary emigrants bonded by their common heritage. This suggests the complexity of the emerging/developed economy relationship, and these migrants may well be part of the multicultural workforce an HR professional must come to understand.</w:t>
      </w:r>
    </w:p>
    <w:p w:rsidR="008261FF" w:rsidRDefault="008261FF" w:rsidP="008261FF">
      <w:pPr>
        <w:pStyle w:val="Heading4"/>
        <w:rPr>
          <w:b w:val="0"/>
          <w:bCs w:val="0"/>
        </w:rPr>
      </w:pPr>
      <w:r>
        <w:rPr>
          <w:b w:val="0"/>
          <w:bCs w:val="0"/>
        </w:rPr>
        <w:lastRenderedPageBreak/>
        <w:t>Global Demographic Dichotomy</w:t>
      </w:r>
    </w:p>
    <w:p w:rsidR="008261FF" w:rsidRDefault="008261FF" w:rsidP="008261FF">
      <w:pPr>
        <w:pStyle w:val="NormalWeb"/>
      </w:pPr>
      <w:r>
        <w:t xml:space="preserve">Another key component of the shift from developed to emerging economies is a parallel demographic shift—what Brad </w:t>
      </w:r>
      <w:proofErr w:type="spellStart"/>
      <w:r>
        <w:t>Boyson</w:t>
      </w:r>
      <w:proofErr w:type="spellEnd"/>
      <w:r>
        <w:t>, in </w:t>
      </w:r>
      <w:r>
        <w:rPr>
          <w:i/>
          <w:iCs/>
        </w:rPr>
        <w:t>The Global HR Practitioner Handbook</w:t>
      </w:r>
      <w:r>
        <w:t>, describes as a “demographic dichotomy.” Basically, the workforce in emerging economies is becoming disproportionately young while the workforce in developed economies is rapidly aging. A study by ratings agency Moody’s notes that, while there are currently three “super-aged” countries (Germany, Italy, and Japan) in which more than one in five of the population is 65 or older, there will be 13 such countries by 2020—most of them in Europe. By 2030 they, in turn, will be joined by the U.S., the U.K., Hong Kong, Korea, and New Zealand. (It is worth noting that the delay in the U.S. joining that group is due in part to relatively robust immigration, which brings in a younger demographic.) Moody’s views the net result as a slowdown in global economic growth.</w:t>
      </w:r>
    </w:p>
    <w:p w:rsidR="008261FF" w:rsidRDefault="008261FF" w:rsidP="008261FF">
      <w:pPr>
        <w:pStyle w:val="NormalWeb"/>
      </w:pPr>
      <w:proofErr w:type="spellStart"/>
      <w:r>
        <w:t>Boyson</w:t>
      </w:r>
      <w:proofErr w:type="spellEnd"/>
      <w:r>
        <w:t xml:space="preserve"> compares the current phenomenon in emerging economies to the “demographic dividend” experienced in the West when the highly educated Baby Boom generation entered the workforce in the 1970s and 1980s. That generation represents a demographic bulge that is now preparing to leave the workforce, creating a corresponding “demographic deficit” of experienced, highly trained workers in developed countries.</w:t>
      </w:r>
    </w:p>
    <w:p w:rsidR="008261FF" w:rsidRDefault="008261FF" w:rsidP="008261FF">
      <w:pPr>
        <w:pStyle w:val="NormalWeb"/>
      </w:pPr>
      <w:r>
        <w:t>Longer life spans, increased standards of living, and lower population growth rates worldwide all exacerbate the effects of this basic dichotomy. McKinsey Global Institute research estimates that, by 2020, “aging advanced” economies will experience an 11% supply-vs.-demand gap for workers with advanced (college and graduate) degrees.</w:t>
      </w:r>
    </w:p>
    <w:p w:rsidR="008261FF" w:rsidRDefault="008261FF" w:rsidP="008261FF">
      <w:pPr>
        <w:pStyle w:val="NormalWeb"/>
      </w:pPr>
      <w:r>
        <w:t xml:space="preserve">The SHRM 2016 “Future Insights” report lists a key challenge for HR: “As labor market conditions have improved and as the need for skilled and educated workers rises around the world, organizations are finding it more difficult to compete for the best employees.” The demographic </w:t>
      </w:r>
      <w:proofErr w:type="gramStart"/>
      <w:r>
        <w:t>dichotomy, and attendant educational challenges, are</w:t>
      </w:r>
      <w:proofErr w:type="gramEnd"/>
      <w:r>
        <w:t xml:space="preserve"> at the heart of this challenge.</w:t>
      </w:r>
    </w:p>
    <w:p w:rsidR="008261FF" w:rsidRDefault="008261FF" w:rsidP="008261FF">
      <w:pPr>
        <w:pStyle w:val="Heading4"/>
        <w:rPr>
          <w:b w:val="0"/>
          <w:bCs w:val="0"/>
        </w:rPr>
      </w:pPr>
      <w:r>
        <w:rPr>
          <w:b w:val="0"/>
          <w:bCs w:val="0"/>
        </w:rPr>
        <w:t>Reverse Flow of Innovation</w:t>
      </w:r>
    </w:p>
    <w:p w:rsidR="008261FF" w:rsidRDefault="008261FF" w:rsidP="008261FF">
      <w:pPr>
        <w:pStyle w:val="NormalWeb"/>
      </w:pPr>
      <w:r>
        <w:t>A final aspect of the growth of emerging economies is worth mentioning. </w:t>
      </w:r>
      <w:r>
        <w:rPr>
          <w:rStyle w:val="3wyfh8gu"/>
          <w:b/>
          <w:bCs/>
        </w:rPr>
        <w:t>Reverse innovation</w:t>
      </w:r>
      <w:r>
        <w:rPr>
          <w:b/>
          <w:bCs/>
        </w:rPr>
        <w:t>,</w:t>
      </w:r>
      <w:r>
        <w:t xml:space="preserve"> a term coined and popularized by Vijay </w:t>
      </w:r>
      <w:proofErr w:type="spellStart"/>
      <w:r>
        <w:t>Govindarajan</w:t>
      </w:r>
      <w:proofErr w:type="spellEnd"/>
      <w:r>
        <w:t xml:space="preserve"> and Chris Trimble in their book of that name, refers to innovations created for or by emerging-economy markets and then imported to developed-economy markets. That is, it reverses the traditional pattern of innovation, in which products and processes are developed in rich countries and sold afterward in poor countries.</w:t>
      </w:r>
    </w:p>
    <w:p w:rsidR="008261FF" w:rsidRDefault="008261FF" w:rsidP="008261FF">
      <w:pPr>
        <w:pStyle w:val="NormalWeb"/>
      </w:pPr>
      <w:r>
        <w:t>In his blog for the </w:t>
      </w:r>
      <w:r>
        <w:rPr>
          <w:i/>
          <w:iCs/>
        </w:rPr>
        <w:t>Harvard Business Review,</w:t>
      </w:r>
      <w:r>
        <w:t> </w:t>
      </w:r>
      <w:proofErr w:type="spellStart"/>
      <w:r>
        <w:t>Govindarajan</w:t>
      </w:r>
      <w:proofErr w:type="spellEnd"/>
      <w:r>
        <w:t xml:space="preserve"> cites these examples:</w:t>
      </w:r>
    </w:p>
    <w:p w:rsidR="008261FF" w:rsidRDefault="008261FF" w:rsidP="008261FF">
      <w:pPr>
        <w:pStyle w:val="NormalWeb"/>
        <w:numPr>
          <w:ilvl w:val="0"/>
          <w:numId w:val="2"/>
        </w:numPr>
        <w:spacing w:before="0" w:beforeAutospacing="0"/>
      </w:pPr>
      <w:r>
        <w:t>An American company that designs and engineers connected products for automakers, consumers, and other enterprises worldwide (including sophisticated audiovisual systems for luxury automobiles) developed a much simpler and cheaper system for mid-price and entry-level cars in emerging markets. That low-cost version then was adapted for higher-end cars in developed markets.</w:t>
      </w:r>
    </w:p>
    <w:p w:rsidR="008261FF" w:rsidRDefault="008261FF" w:rsidP="008261FF">
      <w:pPr>
        <w:pStyle w:val="NormalWeb"/>
        <w:numPr>
          <w:ilvl w:val="0"/>
          <w:numId w:val="2"/>
        </w:numPr>
        <w:spacing w:before="0" w:beforeAutospacing="0"/>
      </w:pPr>
      <w:r>
        <w:t xml:space="preserve">The medical imaging division of an American multinational conglomerate corporation developed an $800 portable, battery-operated, easy-to-use electrocardiogram (ECG) </w:t>
      </w:r>
      <w:r>
        <w:lastRenderedPageBreak/>
        <w:t>machine for rural India (compared with the $10,000 ECG units they were selling in the U.S.). These are now being sold in developed countries as well, creating new applications and company growth rather than competing with the larger machines.</w:t>
      </w:r>
    </w:p>
    <w:p w:rsidR="008261FF" w:rsidRDefault="008261FF" w:rsidP="008261FF">
      <w:pPr>
        <w:pStyle w:val="NormalWeb"/>
      </w:pPr>
      <w:r>
        <w:t>Another example is an American multinational technology company that broke ranks from its premium design and price by offering a less-expensive version of its smartphone along with its high-end counterpart. Complete with a colorful stylized plastic case, the company designed and developed the more-affordable mobile device to compete in emerging markets. The company ultimately introduced the smartphone as a lower-cost alternative in developed countries, too. (As an aside, the multicolored case options aimed the phone squarely at the youth market; see the discussion of the demographic dichotomy above.)</w:t>
      </w:r>
    </w:p>
    <w:p w:rsidR="008261FF" w:rsidRDefault="008261FF" w:rsidP="008261FF">
      <w:pPr>
        <w:pStyle w:val="NormalWeb"/>
      </w:pPr>
      <w:r>
        <w:t>The reverse innovation is not always a product. An American multinational retail corporation that operates a chain of hypermarkets, discount department stores, and grocery stores stumbled at first in its attempts to enter emerging markets, despite its emphasis on low prices. They succeeded in part by adopting a local preference for much smaller stores that allowed quicker, easier shopping for daily essentials (sold in smaller, personal-size packages—another reverse innovation). These smaller-footprint stores have been introduced in the U.S. and other developed countries—and are being copied by competitors.</w:t>
      </w:r>
    </w:p>
    <w:p w:rsidR="008261FF" w:rsidRDefault="008261FF" w:rsidP="008261FF">
      <w:pPr>
        <w:pStyle w:val="NormalWeb"/>
      </w:pPr>
      <w:r>
        <w:t>What is perhaps most significant about reverse innovation is what it says about changing global strategies. When a multinational organization’s flow of ideas, as well as its goods and services, becomes multidirectional, the organization has become a truly globalized enterprise. When that phenomenon is replicated often enough, globalization becomes a full reality.</w:t>
      </w:r>
    </w:p>
    <w:p w:rsidR="008261FF" w:rsidRDefault="008261FF" w:rsidP="008261FF">
      <w:pPr>
        <w:pStyle w:val="NormalWeb"/>
        <w:shd w:val="clear" w:color="auto" w:fill="FFFFFF"/>
        <w:rPr>
          <w:rFonts w:ascii="Arial" w:hAnsi="Arial" w:cs="Arial"/>
          <w:spacing w:val="3"/>
          <w:sz w:val="27"/>
          <w:szCs w:val="27"/>
        </w:rPr>
      </w:pPr>
      <w:r>
        <w:rPr>
          <w:rFonts w:ascii="Arial" w:hAnsi="Arial" w:cs="Arial"/>
          <w:spacing w:val="3"/>
          <w:sz w:val="27"/>
          <w:szCs w:val="27"/>
        </w:rPr>
        <w:t xml:space="preserve">The World Economic Forum defines </w:t>
      </w:r>
      <w:proofErr w:type="spellStart"/>
      <w:r>
        <w:rPr>
          <w:rFonts w:ascii="Arial" w:hAnsi="Arial" w:cs="Arial"/>
          <w:spacing w:val="3"/>
          <w:sz w:val="27"/>
          <w:szCs w:val="27"/>
        </w:rPr>
        <w:t>hyperconnectivity</w:t>
      </w:r>
      <w:proofErr w:type="spellEnd"/>
      <w:r>
        <w:rPr>
          <w:rFonts w:ascii="Arial" w:hAnsi="Arial" w:cs="Arial"/>
          <w:spacing w:val="3"/>
          <w:sz w:val="27"/>
          <w:szCs w:val="27"/>
        </w:rPr>
        <w:t xml:space="preserve"> as the “increasing digital interconnection of people—and things—anytime and anyplace.” It is the purely digital/virtual aspect of globalization’s “accelerating interconnectedness.” It is shaping globalization, just as globalization amplifies the effects of technology in accelerating new products, processes, and cultural phenomena.</w:t>
      </w:r>
    </w:p>
    <w:p w:rsidR="008261FF" w:rsidRDefault="008261FF" w:rsidP="008261FF">
      <w:pPr>
        <w:pStyle w:val="NormalWeb"/>
        <w:shd w:val="clear" w:color="auto" w:fill="FFFFFF"/>
        <w:rPr>
          <w:rFonts w:ascii="Arial" w:hAnsi="Arial" w:cs="Arial"/>
          <w:spacing w:val="3"/>
          <w:sz w:val="27"/>
          <w:szCs w:val="27"/>
        </w:rPr>
      </w:pPr>
      <w:proofErr w:type="spellStart"/>
      <w:r>
        <w:rPr>
          <w:rFonts w:ascii="Arial" w:hAnsi="Arial" w:cs="Arial"/>
          <w:spacing w:val="3"/>
          <w:sz w:val="27"/>
          <w:szCs w:val="27"/>
        </w:rPr>
        <w:t>Hyperconnectivity</w:t>
      </w:r>
      <w:proofErr w:type="spellEnd"/>
      <w:r>
        <w:rPr>
          <w:rFonts w:ascii="Arial" w:hAnsi="Arial" w:cs="Arial"/>
          <w:spacing w:val="3"/>
          <w:sz w:val="27"/>
          <w:szCs w:val="27"/>
        </w:rPr>
        <w:t xml:space="preserve">—that sense that we are instantly and constantly globally connected—may well be the defining phenomenon of globalization today. It is not just a matter of the tools we now use—the migration to smartphones and tablets over desktop and laptop computers—and the ever-increasing speed and power of their connections and capabilities. It is also shaped by how they are used—the proliferation of social networks, blogs, and </w:t>
      </w:r>
      <w:proofErr w:type="spellStart"/>
      <w:r>
        <w:rPr>
          <w:rFonts w:ascii="Arial" w:hAnsi="Arial" w:cs="Arial"/>
          <w:spacing w:val="3"/>
          <w:sz w:val="27"/>
          <w:szCs w:val="27"/>
        </w:rPr>
        <w:t>microblogs</w:t>
      </w:r>
      <w:proofErr w:type="spellEnd"/>
      <w:r>
        <w:rPr>
          <w:rFonts w:ascii="Arial" w:hAnsi="Arial" w:cs="Arial"/>
          <w:spacing w:val="3"/>
          <w:sz w:val="27"/>
          <w:szCs w:val="27"/>
        </w:rPr>
        <w:t xml:space="preserve"> and the increase in data mining capabilities, by both organizations and nations. Taken together, the net effects of </w:t>
      </w:r>
      <w:proofErr w:type="spellStart"/>
      <w:r>
        <w:rPr>
          <w:rFonts w:ascii="Arial" w:hAnsi="Arial" w:cs="Arial"/>
          <w:spacing w:val="3"/>
          <w:sz w:val="27"/>
          <w:szCs w:val="27"/>
        </w:rPr>
        <w:t>hyperconnectivity</w:t>
      </w:r>
      <w:proofErr w:type="spellEnd"/>
      <w:r>
        <w:rPr>
          <w:rFonts w:ascii="Arial" w:hAnsi="Arial" w:cs="Arial"/>
          <w:spacing w:val="3"/>
          <w:sz w:val="27"/>
          <w:szCs w:val="27"/>
        </w:rPr>
        <w:t xml:space="preserve"> are much more wide-ranging and less immediately obvious than just increased connectivity.</w:t>
      </w:r>
    </w:p>
    <w:p w:rsidR="008261FF" w:rsidRDefault="008261FF" w:rsidP="008261FF">
      <w:pPr>
        <w:pStyle w:val="NormalWeb"/>
        <w:shd w:val="clear" w:color="auto" w:fill="FFFFFF"/>
        <w:rPr>
          <w:rFonts w:ascii="Arial" w:hAnsi="Arial" w:cs="Arial"/>
          <w:spacing w:val="3"/>
          <w:sz w:val="27"/>
          <w:szCs w:val="27"/>
        </w:rPr>
      </w:pPr>
      <w:r>
        <w:rPr>
          <w:rFonts w:ascii="Arial" w:hAnsi="Arial" w:cs="Arial"/>
          <w:spacing w:val="3"/>
          <w:sz w:val="27"/>
          <w:szCs w:val="27"/>
        </w:rPr>
        <w:lastRenderedPageBreak/>
        <w:t>Increased data mining and analytics capabilities are enabling new types of data to be measured and analyzed, new questions to be asked, and new criteria to be established. This is important because what gets measured is often what gets acted on. In particular, these capabilities have enabled statistically valid measures to be taken regarding aspects of business that had hitherto seemed too subjective or “soft” to aid strategic decision making.</w:t>
      </w:r>
    </w:p>
    <w:p w:rsidR="008261FF" w:rsidRDefault="008261FF" w:rsidP="008261FF">
      <w:pPr>
        <w:pStyle w:val="NormalWeb"/>
        <w:shd w:val="clear" w:color="auto" w:fill="FFFFFF"/>
        <w:rPr>
          <w:rFonts w:ascii="Arial" w:hAnsi="Arial" w:cs="Arial"/>
          <w:spacing w:val="3"/>
          <w:sz w:val="27"/>
          <w:szCs w:val="27"/>
        </w:rPr>
      </w:pPr>
      <w:r>
        <w:rPr>
          <w:rFonts w:ascii="Arial" w:hAnsi="Arial" w:cs="Arial"/>
          <w:spacing w:val="3"/>
          <w:sz w:val="27"/>
          <w:szCs w:val="27"/>
        </w:rPr>
        <w:t>Innovative technology that is rapidly communicated and implemented globally may create problems for which neither societies nor enterprises are prepared. The creation of the 24/7 global workplace—in which any worker can be fully connected to work via mobile phone or tablet, any time of day or night, and from anywhere around the globe—may greatly increase efficiencies. But it just as surely creates a broad range of new challenges for HR concerning the blurring of public and private lives and the attainment of a proper work/life balance.</w:t>
      </w:r>
    </w:p>
    <w:p w:rsidR="008261FF" w:rsidRDefault="008261FF" w:rsidP="008261FF">
      <w:pPr>
        <w:pStyle w:val="NormalWeb"/>
        <w:shd w:val="clear" w:color="auto" w:fill="FFFFFF"/>
        <w:rPr>
          <w:rFonts w:ascii="Arial" w:hAnsi="Arial" w:cs="Arial"/>
          <w:spacing w:val="3"/>
          <w:sz w:val="27"/>
          <w:szCs w:val="27"/>
        </w:rPr>
      </w:pPr>
      <w:r>
        <w:rPr>
          <w:rFonts w:ascii="Arial" w:hAnsi="Arial" w:cs="Arial"/>
          <w:spacing w:val="3"/>
          <w:sz w:val="27"/>
          <w:szCs w:val="27"/>
        </w:rPr>
        <w:t>Another example of unintended consequences involves the way organizations can gather, store, process, and access data about a broad range of human activity. This technological capacity that has increased productivity has also raised concerns about the need for legal protections for data privacy. Recent examples suggest that corporations, governments, and private citizens must all now contend with the implications of privacy:</w:t>
      </w:r>
    </w:p>
    <w:p w:rsidR="008261FF" w:rsidRDefault="008261FF" w:rsidP="008261FF">
      <w:pPr>
        <w:pStyle w:val="NormalWeb"/>
        <w:numPr>
          <w:ilvl w:val="0"/>
          <w:numId w:val="3"/>
        </w:numPr>
        <w:shd w:val="clear" w:color="auto" w:fill="FFFFFF"/>
        <w:rPr>
          <w:rFonts w:ascii="Arial" w:hAnsi="Arial" w:cs="Arial"/>
          <w:spacing w:val="3"/>
          <w:sz w:val="27"/>
          <w:szCs w:val="27"/>
        </w:rPr>
      </w:pPr>
      <w:r>
        <w:rPr>
          <w:rFonts w:ascii="Arial" w:hAnsi="Arial" w:cs="Arial"/>
          <w:spacing w:val="3"/>
          <w:sz w:val="27"/>
          <w:szCs w:val="27"/>
        </w:rPr>
        <w:t>The EU’s Court of Justice “right to be forgotten” ruling that data about individuals held by a multinational technology company specializing in Internet-related services and products must be deleted on request</w:t>
      </w:r>
    </w:p>
    <w:p w:rsidR="008261FF" w:rsidRDefault="008261FF" w:rsidP="008261FF">
      <w:pPr>
        <w:pStyle w:val="NormalWeb"/>
        <w:numPr>
          <w:ilvl w:val="0"/>
          <w:numId w:val="3"/>
        </w:numPr>
        <w:shd w:val="clear" w:color="auto" w:fill="FFFFFF"/>
        <w:rPr>
          <w:rFonts w:ascii="Arial" w:hAnsi="Arial" w:cs="Arial"/>
          <w:spacing w:val="3"/>
          <w:sz w:val="27"/>
          <w:szCs w:val="27"/>
        </w:rPr>
      </w:pPr>
      <w:r>
        <w:rPr>
          <w:rFonts w:ascii="Arial" w:hAnsi="Arial" w:cs="Arial"/>
          <w:spacing w:val="3"/>
          <w:sz w:val="27"/>
          <w:szCs w:val="27"/>
        </w:rPr>
        <w:t>The disclosures by whistleblower Edward Snowden regarding actions by the United States’ National Security Agency and the resulting global firestorm of responses by citizens and heads of state alike</w:t>
      </w:r>
    </w:p>
    <w:p w:rsidR="008261FF" w:rsidRDefault="008261FF" w:rsidP="008261FF">
      <w:pPr>
        <w:pStyle w:val="NormalWeb"/>
        <w:numPr>
          <w:ilvl w:val="0"/>
          <w:numId w:val="3"/>
        </w:numPr>
        <w:shd w:val="clear" w:color="auto" w:fill="FFFFFF"/>
        <w:rPr>
          <w:rFonts w:ascii="Arial" w:hAnsi="Arial" w:cs="Arial"/>
          <w:spacing w:val="3"/>
          <w:sz w:val="27"/>
          <w:szCs w:val="27"/>
        </w:rPr>
      </w:pPr>
      <w:r>
        <w:rPr>
          <w:rFonts w:ascii="Arial" w:hAnsi="Arial" w:cs="Arial"/>
          <w:spacing w:val="3"/>
          <w:sz w:val="27"/>
          <w:szCs w:val="27"/>
        </w:rPr>
        <w:t>The U.S. Federal Trade Commission’s call to protect consumers against the unchecked collection and sharing of their digital data by providing people with tools to view, suppress, and fix their information</w:t>
      </w:r>
    </w:p>
    <w:p w:rsidR="008261FF" w:rsidRDefault="008261FF" w:rsidP="008261FF">
      <w:pPr>
        <w:pStyle w:val="NormalWeb"/>
        <w:numPr>
          <w:ilvl w:val="0"/>
          <w:numId w:val="3"/>
        </w:numPr>
        <w:shd w:val="clear" w:color="auto" w:fill="FFFFFF"/>
        <w:rPr>
          <w:rFonts w:ascii="Arial" w:hAnsi="Arial" w:cs="Arial"/>
          <w:spacing w:val="3"/>
          <w:sz w:val="27"/>
          <w:szCs w:val="27"/>
        </w:rPr>
      </w:pPr>
      <w:r>
        <w:rPr>
          <w:rFonts w:ascii="Arial" w:hAnsi="Arial" w:cs="Arial"/>
          <w:spacing w:val="3"/>
          <w:sz w:val="27"/>
          <w:szCs w:val="27"/>
        </w:rPr>
        <w:t xml:space="preserve">The release of private e-mails by </w:t>
      </w:r>
      <w:proofErr w:type="spellStart"/>
      <w:r>
        <w:rPr>
          <w:rFonts w:ascii="Arial" w:hAnsi="Arial" w:cs="Arial"/>
          <w:spacing w:val="3"/>
          <w:sz w:val="27"/>
          <w:szCs w:val="27"/>
        </w:rPr>
        <w:t>Wikileaks</w:t>
      </w:r>
      <w:proofErr w:type="spellEnd"/>
      <w:r>
        <w:rPr>
          <w:rFonts w:ascii="Arial" w:hAnsi="Arial" w:cs="Arial"/>
          <w:spacing w:val="3"/>
          <w:sz w:val="27"/>
          <w:szCs w:val="27"/>
        </w:rPr>
        <w:t xml:space="preserve"> following the information security breach of persons associated with a major political campaign in the United States</w:t>
      </w:r>
    </w:p>
    <w:p w:rsidR="008261FF" w:rsidRDefault="008261FF" w:rsidP="008261FF">
      <w:pPr>
        <w:pStyle w:val="NormalWeb"/>
        <w:numPr>
          <w:ilvl w:val="0"/>
          <w:numId w:val="3"/>
        </w:numPr>
        <w:shd w:val="clear" w:color="auto" w:fill="FFFFFF"/>
        <w:rPr>
          <w:rFonts w:ascii="Arial" w:hAnsi="Arial" w:cs="Arial"/>
          <w:spacing w:val="3"/>
          <w:sz w:val="27"/>
          <w:szCs w:val="27"/>
        </w:rPr>
      </w:pPr>
      <w:r>
        <w:rPr>
          <w:rFonts w:ascii="Arial" w:hAnsi="Arial" w:cs="Arial"/>
          <w:spacing w:val="3"/>
          <w:sz w:val="27"/>
          <w:szCs w:val="27"/>
        </w:rPr>
        <w:t>Information becoming public knowledge regarding data collection by Facebook and the user information that Facebook made accessible to various organizations</w:t>
      </w:r>
    </w:p>
    <w:p w:rsidR="00226A83" w:rsidRPr="000E0F7B" w:rsidRDefault="00226A83" w:rsidP="00A0591C">
      <w:pPr>
        <w:ind w:firstLine="720"/>
        <w:rPr>
          <w:rFonts w:ascii="Times New Roman" w:hAnsi="Times New Roman" w:cs="Times New Roman"/>
          <w:sz w:val="24"/>
          <w:szCs w:val="24"/>
        </w:rPr>
      </w:pPr>
      <w:bookmarkStart w:id="0" w:name="_GoBack"/>
      <w:bookmarkEnd w:id="0"/>
    </w:p>
    <w:sectPr w:rsidR="00226A83" w:rsidRPr="000E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134F"/>
    <w:multiLevelType w:val="multilevel"/>
    <w:tmpl w:val="052E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DB5E4C"/>
    <w:multiLevelType w:val="multilevel"/>
    <w:tmpl w:val="961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7855B2"/>
    <w:multiLevelType w:val="multilevel"/>
    <w:tmpl w:val="ABD2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926"/>
    <w:rsid w:val="000E0F7B"/>
    <w:rsid w:val="00226A83"/>
    <w:rsid w:val="00383926"/>
    <w:rsid w:val="00495FCC"/>
    <w:rsid w:val="00681E82"/>
    <w:rsid w:val="008261FF"/>
    <w:rsid w:val="00A0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261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6A83"/>
    <w:rPr>
      <w:b/>
      <w:bCs/>
    </w:rPr>
  </w:style>
  <w:style w:type="paragraph" w:styleId="NormalWeb">
    <w:name w:val="Normal (Web)"/>
    <w:basedOn w:val="Normal"/>
    <w:uiPriority w:val="99"/>
    <w:semiHidden/>
    <w:unhideWhenUsed/>
    <w:rsid w:val="00226A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6A83"/>
    <w:rPr>
      <w:color w:val="0000FF" w:themeColor="hyperlink"/>
      <w:u w:val="single"/>
    </w:rPr>
  </w:style>
  <w:style w:type="character" w:customStyle="1" w:styleId="Heading4Char">
    <w:name w:val="Heading 4 Char"/>
    <w:basedOn w:val="DefaultParagraphFont"/>
    <w:link w:val="Heading4"/>
    <w:uiPriority w:val="9"/>
    <w:rsid w:val="008261FF"/>
    <w:rPr>
      <w:rFonts w:ascii="Times New Roman" w:eastAsia="Times New Roman" w:hAnsi="Times New Roman" w:cs="Times New Roman"/>
      <w:b/>
      <w:bCs/>
      <w:sz w:val="24"/>
      <w:szCs w:val="24"/>
    </w:rPr>
  </w:style>
  <w:style w:type="character" w:customStyle="1" w:styleId="3wyfh8gu">
    <w:name w:val="_3wyfh8gu"/>
    <w:basedOn w:val="DefaultParagraphFont"/>
    <w:rsid w:val="008261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261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6A83"/>
    <w:rPr>
      <w:b/>
      <w:bCs/>
    </w:rPr>
  </w:style>
  <w:style w:type="paragraph" w:styleId="NormalWeb">
    <w:name w:val="Normal (Web)"/>
    <w:basedOn w:val="Normal"/>
    <w:uiPriority w:val="99"/>
    <w:semiHidden/>
    <w:unhideWhenUsed/>
    <w:rsid w:val="00226A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6A83"/>
    <w:rPr>
      <w:color w:val="0000FF" w:themeColor="hyperlink"/>
      <w:u w:val="single"/>
    </w:rPr>
  </w:style>
  <w:style w:type="character" w:customStyle="1" w:styleId="Heading4Char">
    <w:name w:val="Heading 4 Char"/>
    <w:basedOn w:val="DefaultParagraphFont"/>
    <w:link w:val="Heading4"/>
    <w:uiPriority w:val="9"/>
    <w:rsid w:val="008261FF"/>
    <w:rPr>
      <w:rFonts w:ascii="Times New Roman" w:eastAsia="Times New Roman" w:hAnsi="Times New Roman" w:cs="Times New Roman"/>
      <w:b/>
      <w:bCs/>
      <w:sz w:val="24"/>
      <w:szCs w:val="24"/>
    </w:rPr>
  </w:style>
  <w:style w:type="character" w:customStyle="1" w:styleId="3wyfh8gu">
    <w:name w:val="_3wyfh8gu"/>
    <w:basedOn w:val="DefaultParagraphFont"/>
    <w:rsid w:val="00826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44885">
      <w:bodyDiv w:val="1"/>
      <w:marLeft w:val="0"/>
      <w:marRight w:val="0"/>
      <w:marTop w:val="0"/>
      <w:marBottom w:val="0"/>
      <w:divBdr>
        <w:top w:val="none" w:sz="0" w:space="0" w:color="auto"/>
        <w:left w:val="none" w:sz="0" w:space="0" w:color="auto"/>
        <w:bottom w:val="none" w:sz="0" w:space="0" w:color="auto"/>
        <w:right w:val="none" w:sz="0" w:space="0" w:color="auto"/>
      </w:divBdr>
      <w:divsChild>
        <w:div w:id="1413043393">
          <w:marLeft w:val="0"/>
          <w:marRight w:val="0"/>
          <w:marTop w:val="0"/>
          <w:marBottom w:val="0"/>
          <w:divBdr>
            <w:top w:val="none" w:sz="0" w:space="0" w:color="auto"/>
            <w:left w:val="none" w:sz="0" w:space="0" w:color="auto"/>
            <w:bottom w:val="none" w:sz="0" w:space="0" w:color="auto"/>
            <w:right w:val="none" w:sz="0" w:space="0" w:color="auto"/>
          </w:divBdr>
          <w:divsChild>
            <w:div w:id="793451451">
              <w:marLeft w:val="0"/>
              <w:marRight w:val="0"/>
              <w:marTop w:val="0"/>
              <w:marBottom w:val="0"/>
              <w:divBdr>
                <w:top w:val="none" w:sz="0" w:space="0" w:color="auto"/>
                <w:left w:val="none" w:sz="0" w:space="0" w:color="auto"/>
                <w:bottom w:val="none" w:sz="0" w:space="0" w:color="auto"/>
                <w:right w:val="none" w:sz="0" w:space="0" w:color="auto"/>
              </w:divBdr>
              <w:divsChild>
                <w:div w:id="65989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6436">
          <w:marLeft w:val="0"/>
          <w:marRight w:val="0"/>
          <w:marTop w:val="0"/>
          <w:marBottom w:val="0"/>
          <w:divBdr>
            <w:top w:val="none" w:sz="0" w:space="0" w:color="auto"/>
            <w:left w:val="none" w:sz="0" w:space="0" w:color="auto"/>
            <w:bottom w:val="none" w:sz="0" w:space="0" w:color="auto"/>
            <w:right w:val="none" w:sz="0" w:space="0" w:color="auto"/>
          </w:divBdr>
          <w:divsChild>
            <w:div w:id="3978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05278">
      <w:bodyDiv w:val="1"/>
      <w:marLeft w:val="0"/>
      <w:marRight w:val="0"/>
      <w:marTop w:val="0"/>
      <w:marBottom w:val="0"/>
      <w:divBdr>
        <w:top w:val="none" w:sz="0" w:space="0" w:color="auto"/>
        <w:left w:val="none" w:sz="0" w:space="0" w:color="auto"/>
        <w:bottom w:val="none" w:sz="0" w:space="0" w:color="auto"/>
        <w:right w:val="none" w:sz="0" w:space="0" w:color="auto"/>
      </w:divBdr>
    </w:div>
    <w:div w:id="1569996642">
      <w:bodyDiv w:val="1"/>
      <w:marLeft w:val="0"/>
      <w:marRight w:val="0"/>
      <w:marTop w:val="0"/>
      <w:marBottom w:val="0"/>
      <w:divBdr>
        <w:top w:val="none" w:sz="0" w:space="0" w:color="auto"/>
        <w:left w:val="none" w:sz="0" w:space="0" w:color="auto"/>
        <w:bottom w:val="none" w:sz="0" w:space="0" w:color="auto"/>
        <w:right w:val="none" w:sz="0" w:space="0" w:color="auto"/>
      </w:divBdr>
    </w:div>
    <w:div w:id="1655136233">
      <w:bodyDiv w:val="1"/>
      <w:marLeft w:val="0"/>
      <w:marRight w:val="0"/>
      <w:marTop w:val="0"/>
      <w:marBottom w:val="0"/>
      <w:divBdr>
        <w:top w:val="none" w:sz="0" w:space="0" w:color="auto"/>
        <w:left w:val="none" w:sz="0" w:space="0" w:color="auto"/>
        <w:bottom w:val="none" w:sz="0" w:space="0" w:color="auto"/>
        <w:right w:val="none" w:sz="0" w:space="0" w:color="auto"/>
      </w:divBdr>
    </w:div>
    <w:div w:id="1743335712">
      <w:bodyDiv w:val="1"/>
      <w:marLeft w:val="0"/>
      <w:marRight w:val="0"/>
      <w:marTop w:val="0"/>
      <w:marBottom w:val="0"/>
      <w:divBdr>
        <w:top w:val="none" w:sz="0" w:space="0" w:color="auto"/>
        <w:left w:val="none" w:sz="0" w:space="0" w:color="auto"/>
        <w:bottom w:val="none" w:sz="0" w:space="0" w:color="auto"/>
        <w:right w:val="none" w:sz="0" w:space="0" w:color="auto"/>
      </w:divBdr>
    </w:div>
    <w:div w:id="186752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jadeboowh</dc:creator>
  <cp:lastModifiedBy>jadeboowh</cp:lastModifiedBy>
  <cp:revision>2</cp:revision>
  <dcterms:created xsi:type="dcterms:W3CDTF">2021-04-01T23:16:00Z</dcterms:created>
  <dcterms:modified xsi:type="dcterms:W3CDTF">2021-04-01T23:16:00Z</dcterms:modified>
</cp:coreProperties>
</file>